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2B" w:rsidRPr="005F492B" w:rsidRDefault="005F492B" w:rsidP="005F492B">
      <w:pPr>
        <w:spacing w:after="0" w:line="240" w:lineRule="auto"/>
        <w:rPr>
          <w:rFonts w:ascii="Times New Roman" w:eastAsia="Times New Roman" w:hAnsi="Times New Roman" w:cs="Times New Roman"/>
          <w:b/>
          <w:i/>
          <w:sz w:val="24"/>
          <w:szCs w:val="24"/>
          <w:lang w:val="en-US" w:eastAsia="de-DE"/>
        </w:rPr>
      </w:pPr>
      <w:r w:rsidRPr="005F492B">
        <w:rPr>
          <w:rFonts w:ascii="Times New Roman" w:eastAsia="Times New Roman" w:hAnsi="Times New Roman" w:cs="Times New Roman"/>
          <w:b/>
          <w:i/>
          <w:sz w:val="24"/>
          <w:szCs w:val="24"/>
          <w:lang w:val="en-US" w:eastAsia="de-DE"/>
        </w:rPr>
        <w:t>Commercial Risk Europe</w:t>
      </w:r>
    </w:p>
    <w:p w:rsidR="005F492B" w:rsidRDefault="005F492B" w:rsidP="005F492B">
      <w:pPr>
        <w:spacing w:after="0" w:line="240" w:lineRule="auto"/>
        <w:rPr>
          <w:rFonts w:ascii="Times New Roman" w:eastAsia="Times New Roman" w:hAnsi="Times New Roman" w:cs="Times New Roman"/>
          <w:sz w:val="24"/>
          <w:szCs w:val="24"/>
          <w:lang w:val="en-US" w:eastAsia="de-DE"/>
        </w:rPr>
      </w:pPr>
    </w:p>
    <w:p w:rsidR="005F492B" w:rsidRPr="005F492B" w:rsidRDefault="005F492B" w:rsidP="005F492B">
      <w:pPr>
        <w:spacing w:after="0" w:line="240" w:lineRule="auto"/>
        <w:rPr>
          <w:rFonts w:ascii="Times New Roman" w:eastAsia="Times New Roman" w:hAnsi="Times New Roman" w:cs="Times New Roman"/>
          <w:sz w:val="24"/>
          <w:szCs w:val="24"/>
          <w:lang w:val="en-US" w:eastAsia="de-DE"/>
        </w:rPr>
      </w:pPr>
      <w:r w:rsidRPr="005F492B">
        <w:rPr>
          <w:rFonts w:ascii="Times New Roman" w:eastAsia="Times New Roman" w:hAnsi="Times New Roman" w:cs="Times New Roman"/>
          <w:sz w:val="24"/>
          <w:szCs w:val="24"/>
          <w:lang w:val="en-US" w:eastAsia="de-DE"/>
        </w:rPr>
        <w:t>Thursday, November 12, 2015</w:t>
      </w:r>
    </w:p>
    <w:p w:rsidR="005F492B" w:rsidRPr="005F492B" w:rsidRDefault="005F492B" w:rsidP="005F492B">
      <w:pPr>
        <w:spacing w:after="0" w:line="240" w:lineRule="auto"/>
        <w:rPr>
          <w:rFonts w:ascii="Times New Roman" w:eastAsia="Times New Roman" w:hAnsi="Times New Roman" w:cs="Times New Roman"/>
          <w:sz w:val="24"/>
          <w:szCs w:val="24"/>
          <w:lang w:val="en-US" w:eastAsia="de-DE"/>
        </w:rPr>
      </w:pPr>
      <w:r w:rsidRPr="005F492B">
        <w:rPr>
          <w:rFonts w:ascii="Times New Roman" w:eastAsia="Times New Roman" w:hAnsi="Times New Roman" w:cs="Times New Roman"/>
          <w:sz w:val="24"/>
          <w:szCs w:val="24"/>
          <w:lang w:val="en-US" w:eastAsia="de-DE"/>
        </w:rPr>
        <w:t xml:space="preserve">Richard Cutcher </w:t>
      </w:r>
    </w:p>
    <w:p w:rsidR="005F492B" w:rsidRPr="005F492B" w:rsidRDefault="005F492B" w:rsidP="005F492B">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5F492B">
        <w:rPr>
          <w:rFonts w:ascii="Times New Roman" w:eastAsia="Times New Roman" w:hAnsi="Times New Roman" w:cs="Times New Roman"/>
          <w:b/>
          <w:bCs/>
          <w:sz w:val="36"/>
          <w:szCs w:val="36"/>
          <w:lang w:val="en-US" w:eastAsia="de-DE"/>
        </w:rPr>
        <w:t>IAIS adopts captive paper, cell company section expanded</w:t>
      </w:r>
    </w:p>
    <w:p w:rsidR="005F492B" w:rsidRPr="005F492B" w:rsidRDefault="005F492B" w:rsidP="005F492B">
      <w:pPr>
        <w:spacing w:before="100" w:beforeAutospacing="1" w:after="100" w:afterAutospacing="1" w:line="240" w:lineRule="auto"/>
        <w:rPr>
          <w:rFonts w:ascii="Times New Roman" w:eastAsia="Times New Roman" w:hAnsi="Times New Roman" w:cs="Times New Roman"/>
          <w:sz w:val="24"/>
          <w:szCs w:val="24"/>
          <w:lang w:val="en-US" w:eastAsia="de-DE"/>
        </w:rPr>
      </w:pPr>
      <w:r w:rsidRPr="005F492B">
        <w:rPr>
          <w:rFonts w:ascii="Times New Roman" w:eastAsia="Times New Roman" w:hAnsi="Times New Roman" w:cs="Times New Roman"/>
          <w:sz w:val="24"/>
          <w:szCs w:val="24"/>
          <w:lang w:val="en-US" w:eastAsia="de-DE"/>
        </w:rPr>
        <w:t>The International Association of Insurance Supervisors (IAIS) has approved the Application Paper on the Regulation and Supervision of Captive Insurers at its 2015 annual general meeting in Morocco.</w:t>
      </w:r>
    </w:p>
    <w:p w:rsidR="005F492B" w:rsidRPr="005F492B" w:rsidRDefault="005F492B" w:rsidP="005F492B">
      <w:pPr>
        <w:spacing w:before="100" w:beforeAutospacing="1" w:after="100" w:afterAutospacing="1" w:line="240" w:lineRule="auto"/>
        <w:rPr>
          <w:rFonts w:ascii="Times New Roman" w:eastAsia="Times New Roman" w:hAnsi="Times New Roman" w:cs="Times New Roman"/>
          <w:sz w:val="24"/>
          <w:szCs w:val="24"/>
          <w:lang w:val="en-US" w:eastAsia="de-DE"/>
        </w:rPr>
      </w:pPr>
      <w:hyperlink r:id="rId5" w:history="1">
        <w:r w:rsidRPr="005F492B">
          <w:rPr>
            <w:rFonts w:ascii="Times New Roman" w:eastAsia="Times New Roman" w:hAnsi="Times New Roman" w:cs="Times New Roman"/>
            <w:i/>
            <w:iCs/>
            <w:color w:val="0000FF"/>
            <w:sz w:val="24"/>
            <w:szCs w:val="24"/>
            <w:u w:val="single"/>
            <w:lang w:val="en-US" w:eastAsia="de-DE"/>
          </w:rPr>
          <w:t>Captive Review reported</w:t>
        </w:r>
      </w:hyperlink>
      <w:r w:rsidRPr="005F492B">
        <w:rPr>
          <w:rFonts w:ascii="Times New Roman" w:eastAsia="Times New Roman" w:hAnsi="Times New Roman" w:cs="Times New Roman"/>
          <w:sz w:val="24"/>
          <w:szCs w:val="24"/>
          <w:lang w:val="en-US" w:eastAsia="de-DE"/>
        </w:rPr>
        <w:t xml:space="preserve"> in July the IAIS had published the first draft of its application paper and the subsequent </w:t>
      </w:r>
      <w:hyperlink r:id="rId6" w:history="1">
        <w:r w:rsidRPr="005F492B">
          <w:rPr>
            <w:rFonts w:ascii="Times New Roman" w:eastAsia="Times New Roman" w:hAnsi="Times New Roman" w:cs="Times New Roman"/>
            <w:color w:val="0000FF"/>
            <w:sz w:val="24"/>
            <w:szCs w:val="24"/>
            <w:u w:val="single"/>
            <w:lang w:val="en-US" w:eastAsia="de-DE"/>
          </w:rPr>
          <w:t>consultation period</w:t>
        </w:r>
      </w:hyperlink>
      <w:r w:rsidRPr="005F492B">
        <w:rPr>
          <w:rFonts w:ascii="Times New Roman" w:eastAsia="Times New Roman" w:hAnsi="Times New Roman" w:cs="Times New Roman"/>
          <w:sz w:val="24"/>
          <w:szCs w:val="24"/>
          <w:lang w:val="en-US" w:eastAsia="de-DE"/>
        </w:rPr>
        <w:t xml:space="preserve"> produced a mixed response from industry.</w:t>
      </w:r>
    </w:p>
    <w:p w:rsidR="005F492B" w:rsidRPr="005F492B" w:rsidRDefault="005F492B" w:rsidP="005F492B">
      <w:pPr>
        <w:spacing w:before="100" w:beforeAutospacing="1" w:after="100" w:afterAutospacing="1" w:line="240" w:lineRule="auto"/>
        <w:rPr>
          <w:rFonts w:ascii="Times New Roman" w:eastAsia="Times New Roman" w:hAnsi="Times New Roman" w:cs="Times New Roman"/>
          <w:sz w:val="24"/>
          <w:szCs w:val="24"/>
          <w:lang w:val="en-US" w:eastAsia="de-DE"/>
        </w:rPr>
      </w:pPr>
      <w:r w:rsidRPr="005F492B">
        <w:rPr>
          <w:rFonts w:ascii="Times New Roman" w:eastAsia="Times New Roman" w:hAnsi="Times New Roman" w:cs="Times New Roman"/>
          <w:sz w:val="24"/>
          <w:szCs w:val="24"/>
          <w:lang w:val="en-US" w:eastAsia="de-DE"/>
        </w:rPr>
        <w:t>“This paper provides guidance to insurance supervisors on the application of aspects of regulation and supervision specifically relevant to captive insurers or reinsurers,” the IAIS states.</w:t>
      </w:r>
    </w:p>
    <w:p w:rsidR="005F492B" w:rsidRPr="005F492B" w:rsidRDefault="005F492B" w:rsidP="005F492B">
      <w:pPr>
        <w:spacing w:before="100" w:beforeAutospacing="1" w:after="100" w:afterAutospacing="1" w:line="240" w:lineRule="auto"/>
        <w:rPr>
          <w:rFonts w:ascii="Times New Roman" w:eastAsia="Times New Roman" w:hAnsi="Times New Roman" w:cs="Times New Roman"/>
          <w:sz w:val="24"/>
          <w:szCs w:val="24"/>
          <w:lang w:val="en-US" w:eastAsia="de-DE"/>
        </w:rPr>
      </w:pPr>
      <w:r w:rsidRPr="005F492B">
        <w:rPr>
          <w:rFonts w:ascii="Times New Roman" w:eastAsia="Times New Roman" w:hAnsi="Times New Roman" w:cs="Times New Roman"/>
          <w:sz w:val="24"/>
          <w:szCs w:val="24"/>
          <w:lang w:val="en-US" w:eastAsia="de-DE"/>
        </w:rPr>
        <w:t xml:space="preserve">“It follows the IAIS Issues Paper on the Regulation and Supervision of Captive Insurance Companies released in October 2006 and provides practical advice for </w:t>
      </w:r>
      <w:proofErr w:type="gramStart"/>
      <w:r w:rsidRPr="005F492B">
        <w:rPr>
          <w:rFonts w:ascii="Times New Roman" w:eastAsia="Times New Roman" w:hAnsi="Times New Roman" w:cs="Times New Roman"/>
          <w:sz w:val="24"/>
          <w:szCs w:val="24"/>
          <w:lang w:val="en-US" w:eastAsia="de-DE"/>
        </w:rPr>
        <w:t>supervisors that follows</w:t>
      </w:r>
      <w:proofErr w:type="gramEnd"/>
      <w:r w:rsidRPr="005F492B">
        <w:rPr>
          <w:rFonts w:ascii="Times New Roman" w:eastAsia="Times New Roman" w:hAnsi="Times New Roman" w:cs="Times New Roman"/>
          <w:sz w:val="24"/>
          <w:szCs w:val="24"/>
          <w:lang w:val="en-US" w:eastAsia="de-DE"/>
        </w:rPr>
        <w:t xml:space="preserve"> the current range of ICPs.”</w:t>
      </w:r>
    </w:p>
    <w:p w:rsidR="005F492B" w:rsidRPr="005F492B" w:rsidRDefault="005F492B" w:rsidP="005F492B">
      <w:pPr>
        <w:spacing w:before="100" w:beforeAutospacing="1" w:after="100" w:afterAutospacing="1" w:line="240" w:lineRule="auto"/>
        <w:rPr>
          <w:rFonts w:ascii="Times New Roman" w:eastAsia="Times New Roman" w:hAnsi="Times New Roman" w:cs="Times New Roman"/>
          <w:sz w:val="24"/>
          <w:szCs w:val="24"/>
          <w:lang w:val="en-US" w:eastAsia="de-DE"/>
        </w:rPr>
      </w:pPr>
      <w:r w:rsidRPr="005F492B">
        <w:rPr>
          <w:rFonts w:ascii="Times New Roman" w:eastAsia="Times New Roman" w:hAnsi="Times New Roman" w:cs="Times New Roman"/>
          <w:sz w:val="24"/>
          <w:szCs w:val="24"/>
          <w:lang w:val="en-US" w:eastAsia="de-DE"/>
        </w:rPr>
        <w:t>The final approved version of the paper has yet to be released, but it does contain significant sections on captive managers and cell company structures.</w:t>
      </w:r>
    </w:p>
    <w:p w:rsidR="005F492B" w:rsidRPr="005F492B" w:rsidRDefault="005F492B" w:rsidP="005F492B">
      <w:pPr>
        <w:spacing w:before="100" w:beforeAutospacing="1" w:after="100" w:afterAutospacing="1" w:line="240" w:lineRule="auto"/>
        <w:rPr>
          <w:rFonts w:ascii="Times New Roman" w:eastAsia="Times New Roman" w:hAnsi="Times New Roman" w:cs="Times New Roman"/>
          <w:sz w:val="24"/>
          <w:szCs w:val="24"/>
          <w:lang w:val="en-US" w:eastAsia="de-DE"/>
        </w:rPr>
      </w:pPr>
      <w:r w:rsidRPr="005F492B">
        <w:rPr>
          <w:rFonts w:ascii="Times New Roman" w:eastAsia="Times New Roman" w:hAnsi="Times New Roman" w:cs="Times New Roman"/>
          <w:sz w:val="24"/>
          <w:szCs w:val="24"/>
          <w:lang w:val="en-US" w:eastAsia="de-DE"/>
        </w:rPr>
        <w:t>The captive manager section will address the issue of on-site inspections and how supervisors can use them to assess the procedures managers use for their book of business.</w:t>
      </w:r>
    </w:p>
    <w:p w:rsidR="005F492B" w:rsidRPr="005F492B" w:rsidRDefault="005F492B" w:rsidP="005F492B">
      <w:pPr>
        <w:spacing w:before="100" w:beforeAutospacing="1" w:after="100" w:afterAutospacing="1" w:line="240" w:lineRule="auto"/>
        <w:rPr>
          <w:rFonts w:ascii="Times New Roman" w:eastAsia="Times New Roman" w:hAnsi="Times New Roman" w:cs="Times New Roman"/>
          <w:sz w:val="24"/>
          <w:szCs w:val="24"/>
          <w:lang w:val="en-US" w:eastAsia="de-DE"/>
        </w:rPr>
      </w:pPr>
      <w:r w:rsidRPr="005F492B">
        <w:rPr>
          <w:rFonts w:ascii="Times New Roman" w:eastAsia="Times New Roman" w:hAnsi="Times New Roman" w:cs="Times New Roman"/>
          <w:sz w:val="24"/>
          <w:szCs w:val="24"/>
          <w:lang w:val="en-US" w:eastAsia="de-DE"/>
        </w:rPr>
        <w:t>Substantial changes have been made to the section on cell company structures.  While it discusses protected cell companies (PCCs) at length, it also makes further reference to other cell arrangements including incorporated cell companies (ICCs), portfolio insurance companies (PICs), segregated accounts companies (SACs), segregated portfolio companies (SPCs) and series captive insurance companies.</w:t>
      </w:r>
    </w:p>
    <w:p w:rsidR="005F492B" w:rsidRPr="005F492B" w:rsidRDefault="005F492B" w:rsidP="005F492B">
      <w:pPr>
        <w:spacing w:before="100" w:beforeAutospacing="1" w:after="100" w:afterAutospacing="1" w:line="240" w:lineRule="auto"/>
        <w:rPr>
          <w:rFonts w:ascii="Times New Roman" w:eastAsia="Times New Roman" w:hAnsi="Times New Roman" w:cs="Times New Roman"/>
          <w:sz w:val="24"/>
          <w:szCs w:val="24"/>
          <w:lang w:val="en-US" w:eastAsia="de-DE"/>
        </w:rPr>
      </w:pPr>
      <w:r w:rsidRPr="005F492B">
        <w:rPr>
          <w:rFonts w:ascii="Times New Roman" w:eastAsia="Times New Roman" w:hAnsi="Times New Roman" w:cs="Times New Roman"/>
          <w:i/>
          <w:iCs/>
          <w:sz w:val="24"/>
          <w:szCs w:val="24"/>
          <w:lang w:val="en-US" w:eastAsia="de-DE"/>
        </w:rPr>
        <w:t>Captive Review</w:t>
      </w:r>
      <w:r w:rsidRPr="005F492B">
        <w:rPr>
          <w:rFonts w:ascii="Times New Roman" w:eastAsia="Times New Roman" w:hAnsi="Times New Roman" w:cs="Times New Roman"/>
          <w:sz w:val="24"/>
          <w:szCs w:val="24"/>
          <w:lang w:val="en-US" w:eastAsia="de-DE"/>
        </w:rPr>
        <w:t xml:space="preserve"> understands the final version of the paper will be published on the IAIS website next week.</w:t>
      </w:r>
    </w:p>
    <w:p w:rsidR="00F86292" w:rsidRPr="005F492B" w:rsidRDefault="00F86292">
      <w:pPr>
        <w:rPr>
          <w:lang w:val="en-US"/>
        </w:rPr>
      </w:pPr>
      <w:bookmarkStart w:id="0" w:name="_GoBack"/>
      <w:bookmarkEnd w:id="0"/>
    </w:p>
    <w:sectPr w:rsidR="00F86292" w:rsidRPr="005F49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2B"/>
    <w:rsid w:val="005F492B"/>
    <w:rsid w:val="00F86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2255">
      <w:bodyDiv w:val="1"/>
      <w:marLeft w:val="0"/>
      <w:marRight w:val="0"/>
      <w:marTop w:val="0"/>
      <w:marBottom w:val="0"/>
      <w:divBdr>
        <w:top w:val="none" w:sz="0" w:space="0" w:color="auto"/>
        <w:left w:val="none" w:sz="0" w:space="0" w:color="auto"/>
        <w:bottom w:val="none" w:sz="0" w:space="0" w:color="auto"/>
        <w:right w:val="none" w:sz="0" w:space="0" w:color="auto"/>
      </w:divBdr>
      <w:divsChild>
        <w:div w:id="2073263764">
          <w:marLeft w:val="0"/>
          <w:marRight w:val="0"/>
          <w:marTop w:val="0"/>
          <w:marBottom w:val="0"/>
          <w:divBdr>
            <w:top w:val="none" w:sz="0" w:space="0" w:color="auto"/>
            <w:left w:val="none" w:sz="0" w:space="0" w:color="auto"/>
            <w:bottom w:val="none" w:sz="0" w:space="0" w:color="auto"/>
            <w:right w:val="none" w:sz="0" w:space="0" w:color="auto"/>
          </w:divBdr>
          <w:divsChild>
            <w:div w:id="437453669">
              <w:marLeft w:val="0"/>
              <w:marRight w:val="0"/>
              <w:marTop w:val="0"/>
              <w:marBottom w:val="0"/>
              <w:divBdr>
                <w:top w:val="none" w:sz="0" w:space="0" w:color="auto"/>
                <w:left w:val="none" w:sz="0" w:space="0" w:color="auto"/>
                <w:bottom w:val="none" w:sz="0" w:space="0" w:color="auto"/>
                <w:right w:val="none" w:sz="0" w:space="0" w:color="auto"/>
              </w:divBdr>
              <w:divsChild>
                <w:div w:id="1939363311">
                  <w:marLeft w:val="0"/>
                  <w:marRight w:val="0"/>
                  <w:marTop w:val="0"/>
                  <w:marBottom w:val="0"/>
                  <w:divBdr>
                    <w:top w:val="none" w:sz="0" w:space="0" w:color="auto"/>
                    <w:left w:val="none" w:sz="0" w:space="0" w:color="auto"/>
                    <w:bottom w:val="none" w:sz="0" w:space="0" w:color="auto"/>
                    <w:right w:val="none" w:sz="0" w:space="0" w:color="auto"/>
                  </w:divBdr>
                </w:div>
                <w:div w:id="1555000228">
                  <w:marLeft w:val="0"/>
                  <w:marRight w:val="0"/>
                  <w:marTop w:val="0"/>
                  <w:marBottom w:val="0"/>
                  <w:divBdr>
                    <w:top w:val="none" w:sz="0" w:space="0" w:color="auto"/>
                    <w:left w:val="none" w:sz="0" w:space="0" w:color="auto"/>
                    <w:bottom w:val="none" w:sz="0" w:space="0" w:color="auto"/>
                    <w:right w:val="none" w:sz="0" w:space="0" w:color="auto"/>
                  </w:divBdr>
                </w:div>
              </w:divsChild>
            </w:div>
            <w:div w:id="1992296439">
              <w:marLeft w:val="0"/>
              <w:marRight w:val="0"/>
              <w:marTop w:val="0"/>
              <w:marBottom w:val="0"/>
              <w:divBdr>
                <w:top w:val="none" w:sz="0" w:space="0" w:color="auto"/>
                <w:left w:val="none" w:sz="0" w:space="0" w:color="auto"/>
                <w:bottom w:val="none" w:sz="0" w:space="0" w:color="auto"/>
                <w:right w:val="none" w:sz="0" w:space="0" w:color="auto"/>
              </w:divBdr>
              <w:divsChild>
                <w:div w:id="1272086500">
                  <w:marLeft w:val="0"/>
                  <w:marRight w:val="0"/>
                  <w:marTop w:val="0"/>
                  <w:marBottom w:val="0"/>
                  <w:divBdr>
                    <w:top w:val="none" w:sz="0" w:space="0" w:color="auto"/>
                    <w:left w:val="none" w:sz="0" w:space="0" w:color="auto"/>
                    <w:bottom w:val="none" w:sz="0" w:space="0" w:color="auto"/>
                    <w:right w:val="none" w:sz="0" w:space="0" w:color="auto"/>
                  </w:divBdr>
                </w:div>
              </w:divsChild>
            </w:div>
            <w:div w:id="4993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ptivereview.com/news/mixed-response-to-iais-captive-paper/" TargetMode="External"/><Relationship Id="rId5" Type="http://schemas.openxmlformats.org/officeDocument/2006/relationships/hyperlink" Target="http://captivereview.com/news/iais-presents-captive-guidance-paper-for-consultatio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amazon</dc:creator>
  <cp:lastModifiedBy>amazon</cp:lastModifiedBy>
  <cp:revision>1</cp:revision>
  <dcterms:created xsi:type="dcterms:W3CDTF">2015-11-25T15:34:00Z</dcterms:created>
  <dcterms:modified xsi:type="dcterms:W3CDTF">2015-11-25T15:36:00Z</dcterms:modified>
</cp:coreProperties>
</file>